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61463" w14:textId="77777777" w:rsidR="00811DC0" w:rsidRPr="00811DC0" w:rsidRDefault="00811DC0" w:rsidP="00811DC0">
      <w:pPr>
        <w:rPr>
          <w:sz w:val="24"/>
          <w:szCs w:val="24"/>
        </w:rPr>
      </w:pPr>
    </w:p>
    <w:p w14:paraId="3DE905A3" w14:textId="77777777" w:rsidR="003646A0" w:rsidRPr="00392306" w:rsidRDefault="00577FEF" w:rsidP="003646A0">
      <w:pPr>
        <w:shd w:val="clear" w:color="auto" w:fill="FFFFFF"/>
        <w:spacing w:after="150" w:line="360" w:lineRule="atLeast"/>
        <w:jc w:val="center"/>
        <w:rPr>
          <w:rFonts w:ascii="din-light" w:hAnsi="din-light"/>
          <w:b/>
          <w:bCs/>
          <w:color w:val="252525"/>
          <w:szCs w:val="20"/>
        </w:rPr>
      </w:pPr>
      <w:r w:rsidRPr="00577FEF">
        <w:rPr>
          <w:sz w:val="24"/>
        </w:rPr>
        <w:t xml:space="preserve"> </w:t>
      </w:r>
      <w:r w:rsidR="003646A0" w:rsidRPr="00A35F9F">
        <w:rPr>
          <w:rFonts w:ascii="din-light" w:hAnsi="din-light"/>
          <w:b/>
          <w:bCs/>
          <w:color w:val="252525"/>
          <w:szCs w:val="20"/>
        </w:rPr>
        <w:t xml:space="preserve">İŞ SAĞLIĞI VE GÜVENLİĞİ </w:t>
      </w:r>
      <w:r w:rsidR="003646A0">
        <w:rPr>
          <w:rFonts w:ascii="din-light" w:hAnsi="din-light"/>
          <w:b/>
          <w:bCs/>
          <w:color w:val="252525"/>
          <w:szCs w:val="20"/>
        </w:rPr>
        <w:t>HEDEFLER</w:t>
      </w:r>
      <w:r w:rsidR="003646A0">
        <w:rPr>
          <w:rFonts w:ascii="din-light" w:hAnsi="din-light" w:hint="eastAsia"/>
          <w:b/>
          <w:bCs/>
          <w:color w:val="252525"/>
          <w:szCs w:val="20"/>
        </w:rPr>
        <w:t>İ</w:t>
      </w:r>
      <w:r w:rsidR="003646A0">
        <w:rPr>
          <w:rFonts w:ascii="din-light" w:hAnsi="din-light"/>
          <w:b/>
          <w:bCs/>
          <w:color w:val="252525"/>
          <w:szCs w:val="20"/>
        </w:rPr>
        <w:t>M</w:t>
      </w:r>
      <w:r w:rsidR="003646A0">
        <w:rPr>
          <w:rFonts w:ascii="din-light" w:hAnsi="din-light" w:hint="eastAsia"/>
          <w:b/>
          <w:bCs/>
          <w:color w:val="252525"/>
          <w:szCs w:val="20"/>
        </w:rPr>
        <w:t>İ</w:t>
      </w:r>
      <w:r w:rsidR="003646A0">
        <w:rPr>
          <w:rFonts w:ascii="din-light" w:hAnsi="din-light"/>
          <w:b/>
          <w:bCs/>
          <w:color w:val="252525"/>
          <w:szCs w:val="20"/>
        </w:rPr>
        <w:t>Z</w:t>
      </w:r>
    </w:p>
    <w:p w14:paraId="2F8A18BB" w14:textId="77777777" w:rsidR="003646A0" w:rsidRDefault="003646A0" w:rsidP="003646A0">
      <w:pPr>
        <w:ind w:firstLine="709"/>
        <w:jc w:val="both"/>
        <w:rPr>
          <w:szCs w:val="20"/>
        </w:rPr>
      </w:pPr>
      <w:r w:rsidRPr="00652D4F">
        <w:rPr>
          <w:szCs w:val="20"/>
        </w:rPr>
        <w:t xml:space="preserve">Meram </w:t>
      </w:r>
      <w:r>
        <w:rPr>
          <w:szCs w:val="20"/>
        </w:rPr>
        <w:t>Rehberlik ve Araştırma Merkezi Müdürlüğünde s</w:t>
      </w:r>
      <w:r w:rsidRPr="000F63EC">
        <w:rPr>
          <w:szCs w:val="20"/>
        </w:rPr>
        <w:t xml:space="preserve">ağlıklı ve güvenli bir çalışma alanı temin etmek üzere, herkes kendi </w:t>
      </w:r>
      <w:r>
        <w:rPr>
          <w:szCs w:val="20"/>
        </w:rPr>
        <w:t>sorumluluk ve yetki alanı</w:t>
      </w:r>
      <w:r w:rsidRPr="000F63EC">
        <w:rPr>
          <w:szCs w:val="20"/>
        </w:rPr>
        <w:t xml:space="preserve"> içerisinde </w:t>
      </w:r>
      <w:r>
        <w:rPr>
          <w:szCs w:val="20"/>
        </w:rPr>
        <w:t>ihtiyaç duyulan çalışmayı</w:t>
      </w:r>
      <w:r w:rsidRPr="000F63EC">
        <w:rPr>
          <w:szCs w:val="20"/>
        </w:rPr>
        <w:t xml:space="preserve"> yapmakla sorumludur. En önemli amaçlarımızdan bir tanesi de, tüm çalışanlarımızı ve içinde </w:t>
      </w:r>
      <w:r>
        <w:rPr>
          <w:szCs w:val="20"/>
        </w:rPr>
        <w:t>bulunduğumuz çevreyi çalışma alanımızın</w:t>
      </w:r>
      <w:r w:rsidRPr="000F63EC">
        <w:rPr>
          <w:szCs w:val="20"/>
        </w:rPr>
        <w:t xml:space="preserve"> olası ri</w:t>
      </w:r>
      <w:r>
        <w:rPr>
          <w:szCs w:val="20"/>
        </w:rPr>
        <w:t>sklerine karşı muhafaza etmek için hedefler belirlemek ve bu hedefler için gereken çalışmayı yapmaktır</w:t>
      </w:r>
      <w:r w:rsidRPr="000F63EC">
        <w:rPr>
          <w:szCs w:val="20"/>
        </w:rPr>
        <w:t>.</w:t>
      </w:r>
      <w:r w:rsidRPr="00652D4F">
        <w:rPr>
          <w:szCs w:val="20"/>
        </w:rPr>
        <w:t xml:space="preserve">  </w:t>
      </w:r>
      <w:r>
        <w:rPr>
          <w:szCs w:val="20"/>
        </w:rPr>
        <w:t>Tüm faaliyetlerimizde</w:t>
      </w:r>
      <w:r w:rsidRPr="00392306">
        <w:rPr>
          <w:szCs w:val="20"/>
        </w:rPr>
        <w:t xml:space="preserve"> temel aldığı</w:t>
      </w:r>
      <w:r>
        <w:rPr>
          <w:szCs w:val="20"/>
        </w:rPr>
        <w:t>mız</w:t>
      </w:r>
      <w:r w:rsidRPr="00392306">
        <w:rPr>
          <w:szCs w:val="20"/>
        </w:rPr>
        <w:t xml:space="preserve"> İş</w:t>
      </w:r>
      <w:r>
        <w:rPr>
          <w:szCs w:val="20"/>
        </w:rPr>
        <w:t xml:space="preserve"> Sağlığı ve Güvenliği Hedeflerimiz;</w:t>
      </w:r>
    </w:p>
    <w:p w14:paraId="5FE38198" w14:textId="77777777" w:rsidR="003646A0" w:rsidRPr="007A5DD6" w:rsidRDefault="003646A0" w:rsidP="003646A0">
      <w:pPr>
        <w:ind w:firstLine="709"/>
        <w:jc w:val="both"/>
        <w:rPr>
          <w:szCs w:val="20"/>
        </w:rPr>
      </w:pPr>
    </w:p>
    <w:p w14:paraId="35EF7EE2" w14:textId="77777777" w:rsidR="003646A0" w:rsidRPr="00D13574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>
        <w:rPr>
          <w:szCs w:val="20"/>
        </w:rPr>
        <w:t>Müdürlüğümüz hizmet binasında görev yapan çalışanlarımızın tamamının Temel İş Sağlığı ve Güvenliği tekrar eğitimlerinin bir yıl içerisinde tamamlanması için üst yönetimle işbirliği içinde olmak,</w:t>
      </w:r>
    </w:p>
    <w:p w14:paraId="3FE375B3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>
        <w:rPr>
          <w:szCs w:val="20"/>
        </w:rPr>
        <w:t xml:space="preserve">Çalışanlarımız tarafından KKD kullanımını bir yıl içerisinde %100’e çıkarmak </w:t>
      </w:r>
    </w:p>
    <w:p w14:paraId="14272674" w14:textId="77777777" w:rsidR="003646A0" w:rsidRDefault="003D41DA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>
        <w:rPr>
          <w:szCs w:val="20"/>
        </w:rPr>
        <w:t xml:space="preserve">Bir yıl içinde, </w:t>
      </w:r>
      <w:r w:rsidR="005231C6" w:rsidRPr="005231C6">
        <w:rPr>
          <w:szCs w:val="20"/>
        </w:rPr>
        <w:t xml:space="preserve">Yangınla Mücadele/ Söndürme </w:t>
      </w:r>
      <w:r w:rsidR="003646A0">
        <w:rPr>
          <w:szCs w:val="20"/>
        </w:rPr>
        <w:t>Ekibinde görevlendirilen çalışanlarımızın tamamına Yangın Eğitimi verilmesi için üst yönetimle iş birliği yapmak,</w:t>
      </w:r>
    </w:p>
    <w:p w14:paraId="3CFADC20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 w:rsidRPr="00D27C9E">
        <w:rPr>
          <w:szCs w:val="20"/>
        </w:rPr>
        <w:t>Bir yıl içinde, İlkyardım Ekibinde görevlendirilen çalışanlarımızın tamamına İlkyardımcı Eğitimi verilmesi için üst yö</w:t>
      </w:r>
      <w:r>
        <w:rPr>
          <w:szCs w:val="20"/>
        </w:rPr>
        <w:t>netimle iş birliği yapmak,</w:t>
      </w:r>
    </w:p>
    <w:p w14:paraId="7EDB8300" w14:textId="77777777" w:rsidR="003646A0" w:rsidRPr="00D27C9E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 w:rsidRPr="00D27C9E">
        <w:rPr>
          <w:szCs w:val="20"/>
        </w:rPr>
        <w:t xml:space="preserve">Bir yıl içinde, Koruma, Arama ve Tahliye Ekibi ile Kurtarma Ekibinde görevli çalışanlarımızın tamamına Arama, Kurtarma ve Tahliye Eğitimi verilmesi için üst yönetimle iş birliği </w:t>
      </w:r>
      <w:r>
        <w:rPr>
          <w:szCs w:val="20"/>
        </w:rPr>
        <w:t>yapmak,</w:t>
      </w:r>
    </w:p>
    <w:p w14:paraId="463D8CDD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 w:rsidRPr="00AB50E2">
        <w:rPr>
          <w:szCs w:val="20"/>
        </w:rPr>
        <w:t xml:space="preserve">Acil durumlarda çalışanlarımızın önleyici tedbirler alması </w:t>
      </w:r>
      <w:r>
        <w:rPr>
          <w:szCs w:val="20"/>
        </w:rPr>
        <w:t xml:space="preserve">amacıyla </w:t>
      </w:r>
      <w:r w:rsidRPr="00AB50E2">
        <w:rPr>
          <w:szCs w:val="20"/>
        </w:rPr>
        <w:t xml:space="preserve">ve yasal mevzuat kapsamında </w:t>
      </w:r>
      <w:r>
        <w:rPr>
          <w:szCs w:val="20"/>
        </w:rPr>
        <w:t>her birinden en az yılda bir kez olmak üzere, yangın, deprem, personel tahliyesi ve KBRN tatbikatı yapmak,</w:t>
      </w:r>
    </w:p>
    <w:p w14:paraId="4251C97C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>
        <w:rPr>
          <w:szCs w:val="20"/>
        </w:rPr>
        <w:t>İ</w:t>
      </w:r>
      <w:r w:rsidRPr="00C14BEE">
        <w:rPr>
          <w:szCs w:val="20"/>
        </w:rPr>
        <w:t>ş</w:t>
      </w:r>
      <w:r>
        <w:rPr>
          <w:szCs w:val="20"/>
        </w:rPr>
        <w:t xml:space="preserve"> </w:t>
      </w:r>
      <w:r w:rsidRPr="00C14BEE">
        <w:rPr>
          <w:szCs w:val="20"/>
        </w:rPr>
        <w:t>sağlığı ve</w:t>
      </w:r>
      <w:r>
        <w:rPr>
          <w:szCs w:val="20"/>
        </w:rPr>
        <w:t xml:space="preserve"> </w:t>
      </w:r>
      <w:r w:rsidRPr="00C14BEE">
        <w:rPr>
          <w:szCs w:val="20"/>
        </w:rPr>
        <w:t>güvenliği</w:t>
      </w:r>
      <w:r>
        <w:rPr>
          <w:szCs w:val="20"/>
        </w:rPr>
        <w:t xml:space="preserve"> </w:t>
      </w:r>
      <w:r w:rsidRPr="00C14BEE">
        <w:rPr>
          <w:szCs w:val="20"/>
        </w:rPr>
        <w:t>kültürünün</w:t>
      </w:r>
      <w:r>
        <w:rPr>
          <w:szCs w:val="20"/>
        </w:rPr>
        <w:t xml:space="preserve"> </w:t>
      </w:r>
      <w:r w:rsidRPr="00C14BEE">
        <w:rPr>
          <w:szCs w:val="20"/>
        </w:rPr>
        <w:t>yaygınlaştırılması</w:t>
      </w:r>
      <w:r w:rsidR="007D673F">
        <w:rPr>
          <w:szCs w:val="20"/>
        </w:rPr>
        <w:t xml:space="preserve"> amacıyla</w:t>
      </w:r>
      <w:r>
        <w:rPr>
          <w:szCs w:val="20"/>
        </w:rPr>
        <w:t xml:space="preserve"> en az bir tanıtıcı etkinlik planlamak,</w:t>
      </w:r>
    </w:p>
    <w:p w14:paraId="56AB73A9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>
        <w:rPr>
          <w:szCs w:val="20"/>
        </w:rPr>
        <w:t xml:space="preserve">TS EN ISO 45001 </w:t>
      </w:r>
      <w:r w:rsidRPr="009E2EF9">
        <w:rPr>
          <w:szCs w:val="20"/>
        </w:rPr>
        <w:t>İş Sağlığı ve Güvenliği Yönetim Sistemi</w:t>
      </w:r>
      <w:r>
        <w:rPr>
          <w:szCs w:val="20"/>
        </w:rPr>
        <w:t xml:space="preserve"> Standardının</w:t>
      </w:r>
      <w:r w:rsidRPr="009E2EF9">
        <w:rPr>
          <w:szCs w:val="20"/>
        </w:rPr>
        <w:t xml:space="preserve"> benimsetilmesi için </w:t>
      </w:r>
      <w:r>
        <w:rPr>
          <w:szCs w:val="20"/>
        </w:rPr>
        <w:t>Müdürlüğümüz çalışanlarına en az 2 saat/kişi eğitim vermek,</w:t>
      </w:r>
    </w:p>
    <w:p w14:paraId="0A80FD87" w14:textId="77777777" w:rsidR="003646A0" w:rsidRDefault="003646A0" w:rsidP="003646A0">
      <w:pPr>
        <w:pStyle w:val="ListeParagraf"/>
        <w:widowControl/>
        <w:numPr>
          <w:ilvl w:val="0"/>
          <w:numId w:val="7"/>
        </w:numPr>
        <w:autoSpaceDE/>
        <w:autoSpaceDN/>
        <w:spacing w:line="276" w:lineRule="auto"/>
        <w:ind w:left="851" w:hanging="284"/>
        <w:contextualSpacing/>
        <w:rPr>
          <w:szCs w:val="20"/>
        </w:rPr>
      </w:pPr>
      <w:r w:rsidRPr="000F63EC">
        <w:rPr>
          <w:szCs w:val="20"/>
        </w:rPr>
        <w:t>Tespit edilen uygunsuzlukların kapanma ora</w:t>
      </w:r>
      <w:r>
        <w:rPr>
          <w:szCs w:val="20"/>
        </w:rPr>
        <w:t>nını kamu olanakları ölçüsünde bir yılda % 100’e çıkarmak,</w:t>
      </w:r>
    </w:p>
    <w:p w14:paraId="118AE36F" w14:textId="77777777" w:rsidR="003646A0" w:rsidRDefault="003646A0" w:rsidP="003646A0">
      <w:pPr>
        <w:ind w:left="6372" w:firstLine="708"/>
        <w:jc w:val="both"/>
        <w:rPr>
          <w:szCs w:val="20"/>
        </w:rPr>
      </w:pPr>
    </w:p>
    <w:p w14:paraId="1843E66E" w14:textId="77777777" w:rsidR="003646A0" w:rsidRPr="0018018D" w:rsidRDefault="003646A0" w:rsidP="003646A0">
      <w:pPr>
        <w:rPr>
          <w:szCs w:val="20"/>
        </w:rPr>
      </w:pPr>
    </w:p>
    <w:p w14:paraId="7FEBB9E9" w14:textId="0F699148" w:rsidR="003646A0" w:rsidRDefault="003646A0" w:rsidP="003646A0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11482971" w14:textId="77777777" w:rsidR="003646A0" w:rsidRPr="00A35F9F" w:rsidRDefault="003646A0" w:rsidP="003646A0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</w:t>
      </w:r>
      <w:r w:rsidR="000F381E">
        <w:rPr>
          <w:szCs w:val="20"/>
        </w:rPr>
        <w:t xml:space="preserve">                        </w:t>
      </w:r>
      <w:r>
        <w:rPr>
          <w:szCs w:val="20"/>
        </w:rPr>
        <w:t xml:space="preserve"> </w:t>
      </w:r>
      <w:r w:rsidR="005C250F">
        <w:rPr>
          <w:szCs w:val="20"/>
        </w:rPr>
        <w:tab/>
      </w:r>
      <w:r w:rsidR="005C250F">
        <w:rPr>
          <w:szCs w:val="20"/>
        </w:rPr>
        <w:tab/>
      </w:r>
      <w:r w:rsidR="000F381E" w:rsidRPr="00A35F9F">
        <w:rPr>
          <w:szCs w:val="20"/>
        </w:rPr>
        <w:t>İşveren</w:t>
      </w:r>
    </w:p>
    <w:p w14:paraId="186A8907" w14:textId="77777777" w:rsidR="003646A0" w:rsidRDefault="003646A0" w:rsidP="003646A0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</w:t>
      </w:r>
    </w:p>
    <w:p w14:paraId="2C543485" w14:textId="5DC56478" w:rsidR="00E15CB3" w:rsidRDefault="00E15CB3" w:rsidP="00E15CB3">
      <w:pPr>
        <w:spacing w:line="360" w:lineRule="auto"/>
        <w:ind w:left="-142" w:firstLine="862"/>
        <w:jc w:val="both"/>
        <w:rPr>
          <w:sz w:val="24"/>
          <w:szCs w:val="24"/>
        </w:rPr>
      </w:pPr>
      <w:r>
        <w:rPr>
          <w:sz w:val="24"/>
        </w:rPr>
        <w:t xml:space="preserve"> </w:t>
      </w:r>
    </w:p>
    <w:p w14:paraId="7C5F6012" w14:textId="69A69199" w:rsidR="00E15CB3" w:rsidRDefault="00E15CB3" w:rsidP="00811DC0">
      <w:pPr>
        <w:rPr>
          <w:sz w:val="24"/>
          <w:szCs w:val="24"/>
        </w:rPr>
      </w:pPr>
    </w:p>
    <w:p w14:paraId="362C8A27" w14:textId="487FD812" w:rsidR="00E15CB3" w:rsidRDefault="00E15CB3" w:rsidP="00811DC0">
      <w:pPr>
        <w:rPr>
          <w:sz w:val="24"/>
          <w:szCs w:val="24"/>
        </w:rPr>
      </w:pPr>
    </w:p>
    <w:p w14:paraId="6B90F59D" w14:textId="77777777" w:rsidR="00E15CB3" w:rsidRDefault="00E15CB3" w:rsidP="00811DC0">
      <w:pPr>
        <w:rPr>
          <w:sz w:val="24"/>
          <w:szCs w:val="24"/>
        </w:rPr>
      </w:pPr>
    </w:p>
    <w:p w14:paraId="306665FC" w14:textId="77777777" w:rsidR="00AE4A25" w:rsidRDefault="00AE4A25" w:rsidP="00811DC0">
      <w:pPr>
        <w:rPr>
          <w:sz w:val="24"/>
          <w:szCs w:val="24"/>
        </w:rPr>
      </w:pPr>
    </w:p>
    <w:p w14:paraId="4CC5184B" w14:textId="77777777" w:rsidR="00A21E27" w:rsidRPr="00811DC0" w:rsidRDefault="00A21E27" w:rsidP="00811DC0">
      <w:pPr>
        <w:rPr>
          <w:sz w:val="24"/>
          <w:szCs w:val="24"/>
        </w:rPr>
      </w:pPr>
    </w:p>
    <w:p w14:paraId="4041CB1D" w14:textId="77777777" w:rsidR="00811DC0" w:rsidRDefault="00811DC0" w:rsidP="00811DC0">
      <w:pPr>
        <w:rPr>
          <w:sz w:val="24"/>
          <w:szCs w:val="24"/>
        </w:rPr>
      </w:pPr>
    </w:p>
    <w:tbl>
      <w:tblPr>
        <w:tblStyle w:val="ListeTablo3-Vurgu21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710"/>
        <w:gridCol w:w="3685"/>
        <w:gridCol w:w="2682"/>
      </w:tblGrid>
      <w:tr w:rsidR="00970995" w14:paraId="3B7C3D34" w14:textId="77777777" w:rsidTr="0054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7596" w14:textId="77777777" w:rsidR="00970995" w:rsidRDefault="00970995" w:rsidP="00542EBB">
            <w:pPr>
              <w:pStyle w:val="TableParagraph"/>
              <w:spacing w:before="9" w:line="276" w:lineRule="auto"/>
              <w:ind w:left="721" w:right="71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Hazırlayan: İSG Yönetim Sistemi Ekibi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AE2" w14:textId="77777777" w:rsidR="00970995" w:rsidRDefault="00970995" w:rsidP="00542EBB">
            <w:pPr>
              <w:pStyle w:val="TableParagraph"/>
              <w:spacing w:before="4" w:line="276" w:lineRule="auto"/>
              <w:ind w:left="0" w:right="3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Onaylayan</w:t>
            </w:r>
          </w:p>
        </w:tc>
      </w:tr>
      <w:tr w:rsidR="00970995" w14:paraId="78F2B218" w14:textId="77777777" w:rsidTr="00542E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6AE" w14:textId="232B5DCF" w:rsidR="00970995" w:rsidRPr="002A3FA2" w:rsidRDefault="00970995" w:rsidP="00542EBB">
            <w:pPr>
              <w:pStyle w:val="TableParagraph"/>
              <w:spacing w:before="7" w:line="276" w:lineRule="auto"/>
              <w:ind w:left="0"/>
              <w:jc w:val="center"/>
              <w:rPr>
                <w:bCs w:val="0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EE0" w14:textId="75B7B1C2" w:rsidR="00970995" w:rsidRDefault="00970995" w:rsidP="00542EBB">
            <w:pPr>
              <w:pStyle w:val="TableParagraph"/>
              <w:spacing w:before="0" w:line="276" w:lineRule="auto"/>
              <w:ind w:left="52" w:right="72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A7" w14:textId="77777777" w:rsidR="00970995" w:rsidRDefault="00970995" w:rsidP="00542EBB">
            <w:pPr>
              <w:pStyle w:val="TableParagraph"/>
              <w:spacing w:before="0" w:line="276" w:lineRule="auto"/>
              <w:ind w:left="0" w:right="31"/>
              <w:rPr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</w:tr>
    </w:tbl>
    <w:p w14:paraId="2072A979" w14:textId="29E7A1BD" w:rsidR="002960E7" w:rsidRDefault="002960E7" w:rsidP="00811DC0">
      <w:pPr>
        <w:rPr>
          <w:sz w:val="24"/>
          <w:szCs w:val="24"/>
        </w:rPr>
      </w:pPr>
    </w:p>
    <w:p w14:paraId="69DC455F" w14:textId="77777777" w:rsidR="00530446" w:rsidRPr="00811DC0" w:rsidRDefault="00530446" w:rsidP="003B1ABF">
      <w:pPr>
        <w:rPr>
          <w:b/>
          <w:sz w:val="24"/>
          <w:szCs w:val="24"/>
        </w:rPr>
      </w:pPr>
    </w:p>
    <w:sectPr w:rsidR="00530446" w:rsidRPr="00811DC0" w:rsidSect="00850B0D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49B9E" w14:textId="77777777" w:rsidR="00FC10E1" w:rsidRDefault="00FC10E1">
      <w:r>
        <w:separator/>
      </w:r>
    </w:p>
  </w:endnote>
  <w:endnote w:type="continuationSeparator" w:id="0">
    <w:p w14:paraId="7D60137B" w14:textId="77777777" w:rsidR="00FC10E1" w:rsidRDefault="00FC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273CE" w14:textId="77777777" w:rsidR="00E925D2" w:rsidRDefault="00E925D2" w:rsidP="00E925D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C8CB0" w14:textId="77777777" w:rsidR="00FC10E1" w:rsidRDefault="00FC10E1">
      <w:r>
        <w:separator/>
      </w:r>
    </w:p>
  </w:footnote>
  <w:footnote w:type="continuationSeparator" w:id="0">
    <w:p w14:paraId="46714812" w14:textId="77777777" w:rsidR="00FC10E1" w:rsidRDefault="00FC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5038"/>
      <w:gridCol w:w="1592"/>
      <w:gridCol w:w="1598"/>
    </w:tblGrid>
    <w:tr w:rsidR="00791AC1" w14:paraId="7258DCF5" w14:textId="77777777" w:rsidTr="00DB775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1BE2207" w14:textId="77777777" w:rsidR="00BB53B0" w:rsidRDefault="00791AC1" w:rsidP="00F0523A">
          <w:pPr>
            <w:pStyle w:val="stbilgi"/>
            <w:jc w:val="center"/>
          </w:pPr>
          <w:r w:rsidRPr="00791AC1">
            <w:rPr>
              <w:noProof/>
              <w:lang w:bidi="ar-SA"/>
            </w:rPr>
            <w:drawing>
              <wp:inline distT="0" distB="0" distL="0" distR="0" wp14:anchorId="5792BC6F" wp14:editId="3353E23D">
                <wp:extent cx="1133475" cy="968237"/>
                <wp:effectExtent l="0" t="0" r="0" b="3810"/>
                <wp:docPr id="2" name="Resim 2" descr="C:\Users\HARUN REŞİT BAŞKAYA\Desktop\meram ra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ARUN REŞİT BAŞKAYA\Desktop\meram ra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839" cy="9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62C3632" w14:textId="77777777" w:rsidR="00791AC1" w:rsidRPr="00791AC1" w:rsidRDefault="00791AC1" w:rsidP="00791AC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791AC1">
            <w:rPr>
              <w:sz w:val="24"/>
            </w:rPr>
            <w:t>T.C.</w:t>
          </w:r>
        </w:p>
        <w:p w14:paraId="3927D2DD" w14:textId="77777777" w:rsidR="00791AC1" w:rsidRPr="00791AC1" w:rsidRDefault="00791AC1" w:rsidP="00791AC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791AC1">
            <w:rPr>
              <w:sz w:val="24"/>
            </w:rPr>
            <w:t>MERAM KAYMAKAMLIĞI</w:t>
          </w:r>
        </w:p>
        <w:p w14:paraId="47D132B0" w14:textId="77777777" w:rsidR="00791AC1" w:rsidRPr="00791AC1" w:rsidRDefault="00791AC1" w:rsidP="00791AC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İlçe Milli</w:t>
          </w:r>
          <w:r w:rsidRPr="00791AC1">
            <w:rPr>
              <w:sz w:val="24"/>
            </w:rPr>
            <w:t xml:space="preserve"> Eğitim Müdürlüğü</w:t>
          </w:r>
        </w:p>
        <w:p w14:paraId="3F9271F0" w14:textId="77777777" w:rsidR="00BB53B0" w:rsidRPr="00F0523A" w:rsidRDefault="00791AC1" w:rsidP="00791AC1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791AC1">
            <w:rPr>
              <w:sz w:val="24"/>
            </w:rPr>
            <w:t>Meram Rehberlik ve Araştırma Merkezi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29E285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3FC75" w14:textId="77777777" w:rsidR="00BB53B0" w:rsidRPr="003646A0" w:rsidRDefault="003646A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46A0">
            <w:t>MRM.D.02</w:t>
          </w:r>
        </w:p>
      </w:tc>
    </w:tr>
    <w:tr w:rsidR="00791AC1" w14:paraId="4A753A96" w14:textId="77777777" w:rsidTr="00DB775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62195A5" w14:textId="77777777" w:rsidR="00BB53B0" w:rsidRDefault="00BB53B0">
          <w:pPr>
            <w:pStyle w:val="stbilgi"/>
          </w:pPr>
        </w:p>
      </w:tc>
      <w:tc>
        <w:tcPr>
          <w:tcW w:w="503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76B17B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83B405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9DF2B7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791AC1" w14:paraId="43CE96F9" w14:textId="77777777" w:rsidTr="00DB775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0E5559BF" w14:textId="77777777" w:rsidR="00BB53B0" w:rsidRDefault="00BB53B0">
          <w:pPr>
            <w:pStyle w:val="stbilgi"/>
          </w:pPr>
        </w:p>
      </w:tc>
      <w:tc>
        <w:tcPr>
          <w:tcW w:w="5038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60B246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A428FB" w14:textId="77777777" w:rsidR="00BB53B0" w:rsidRPr="00367257" w:rsidRDefault="00DB775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  <w:r>
            <w:rPr>
              <w:b/>
            </w:rPr>
            <w:t>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C50144" w14:textId="77777777" w:rsidR="00BB53B0" w:rsidRPr="00367257" w:rsidRDefault="00791AC1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25.10.2021</w:t>
          </w:r>
        </w:p>
      </w:tc>
    </w:tr>
    <w:tr w:rsidR="00791AC1" w14:paraId="67D15477" w14:textId="77777777" w:rsidTr="00DB775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67829F4D" w14:textId="77777777" w:rsidR="00BB53B0" w:rsidRDefault="00BB53B0">
          <w:pPr>
            <w:pStyle w:val="stbilgi"/>
          </w:pPr>
        </w:p>
      </w:tc>
      <w:tc>
        <w:tcPr>
          <w:tcW w:w="5038" w:type="dxa"/>
          <w:vMerge/>
          <w:tcBorders>
            <w:left w:val="single" w:sz="4" w:space="0" w:color="auto"/>
            <w:right w:val="single" w:sz="4" w:space="0" w:color="auto"/>
          </w:tcBorders>
        </w:tcPr>
        <w:p w14:paraId="19264CCE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5D29AA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144CC1" w14:textId="2E5909CC" w:rsidR="00BB53B0" w:rsidRPr="00367257" w:rsidRDefault="00D649B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</w:t>
          </w:r>
        </w:p>
      </w:tc>
    </w:tr>
    <w:tr w:rsidR="00791AC1" w14:paraId="5E13C8BC" w14:textId="77777777" w:rsidTr="00DB775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64A23697" w14:textId="77777777" w:rsidR="00BB53B0" w:rsidRDefault="00BB53B0">
          <w:pPr>
            <w:pStyle w:val="stbilgi"/>
          </w:pPr>
        </w:p>
      </w:tc>
      <w:tc>
        <w:tcPr>
          <w:tcW w:w="50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152522" w14:textId="77777777"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3E60DE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17047C" w14:textId="28D9AFE7" w:rsidR="00BB53B0" w:rsidRPr="00367257" w:rsidRDefault="00D649B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06.10.2023</w:t>
          </w:r>
        </w:p>
      </w:tc>
    </w:tr>
    <w:tr w:rsidR="00791AC1" w14:paraId="36447ECF" w14:textId="77777777" w:rsidTr="00DB775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08BD46" w14:textId="77777777" w:rsidR="00BB53B0" w:rsidRDefault="00BB53B0">
          <w:pPr>
            <w:pStyle w:val="stbilgi"/>
          </w:pPr>
        </w:p>
      </w:tc>
      <w:tc>
        <w:tcPr>
          <w:tcW w:w="5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51EC43" w14:textId="77777777" w:rsidR="00BB53B0" w:rsidRPr="00791AC1" w:rsidRDefault="003646A0" w:rsidP="0083273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İŞ SAĞLIĞI VE GÜVENLİĞİ HEDEFLERİ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1AB44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4433D" w14:textId="0C80C511" w:rsidR="00BB53B0" w:rsidRPr="00367257" w:rsidRDefault="00BB53B0" w:rsidP="00D21FC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1F6B82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="00D21FC2">
            <w:rPr>
              <w:bCs/>
            </w:rPr>
            <w:t>1</w:t>
          </w:r>
        </w:p>
      </w:tc>
    </w:tr>
  </w:tbl>
  <w:p w14:paraId="7CC1AA94" w14:textId="77777777" w:rsidR="00BB53B0" w:rsidRDefault="00BB53B0">
    <w:pPr>
      <w:pStyle w:val="stbilgi"/>
    </w:pPr>
  </w:p>
  <w:p w14:paraId="2CB9F8BC" w14:textId="77777777"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0A9"/>
      </v:shape>
    </w:pict>
  </w:numPicBullet>
  <w:abstractNum w:abstractNumId="0">
    <w:nsid w:val="097D3324"/>
    <w:multiLevelType w:val="hybridMultilevel"/>
    <w:tmpl w:val="EAAECDBC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6B63D0"/>
    <w:multiLevelType w:val="hybridMultilevel"/>
    <w:tmpl w:val="F3BC27B2"/>
    <w:lvl w:ilvl="0" w:tplc="041F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4">
    <w:nsid w:val="573E1D64"/>
    <w:multiLevelType w:val="hybridMultilevel"/>
    <w:tmpl w:val="D35872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9E4"/>
    <w:multiLevelType w:val="hybridMultilevel"/>
    <w:tmpl w:val="D5E090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52531"/>
    <w:rsid w:val="000B61B6"/>
    <w:rsid w:val="000F381E"/>
    <w:rsid w:val="001201E7"/>
    <w:rsid w:val="0013512D"/>
    <w:rsid w:val="00150A04"/>
    <w:rsid w:val="00163F49"/>
    <w:rsid w:val="0017555C"/>
    <w:rsid w:val="0017670F"/>
    <w:rsid w:val="00186609"/>
    <w:rsid w:val="0019367F"/>
    <w:rsid w:val="001F4B38"/>
    <w:rsid w:val="001F57F5"/>
    <w:rsid w:val="001F6B82"/>
    <w:rsid w:val="00256BB1"/>
    <w:rsid w:val="002960E7"/>
    <w:rsid w:val="002B7D5C"/>
    <w:rsid w:val="002E0CC5"/>
    <w:rsid w:val="002E53C6"/>
    <w:rsid w:val="00323ECA"/>
    <w:rsid w:val="003646A0"/>
    <w:rsid w:val="00367257"/>
    <w:rsid w:val="003B1ABF"/>
    <w:rsid w:val="003B2C39"/>
    <w:rsid w:val="003C1ECB"/>
    <w:rsid w:val="003D41DA"/>
    <w:rsid w:val="00400371"/>
    <w:rsid w:val="004610DB"/>
    <w:rsid w:val="004B5921"/>
    <w:rsid w:val="004C7D89"/>
    <w:rsid w:val="005231C6"/>
    <w:rsid w:val="00530446"/>
    <w:rsid w:val="00556F2A"/>
    <w:rsid w:val="00577FEF"/>
    <w:rsid w:val="00582711"/>
    <w:rsid w:val="005A065A"/>
    <w:rsid w:val="005C250F"/>
    <w:rsid w:val="005C524A"/>
    <w:rsid w:val="005E07DD"/>
    <w:rsid w:val="00613CA4"/>
    <w:rsid w:val="00624CEB"/>
    <w:rsid w:val="00634B3D"/>
    <w:rsid w:val="00634E95"/>
    <w:rsid w:val="00674475"/>
    <w:rsid w:val="006A0DE7"/>
    <w:rsid w:val="006B41B0"/>
    <w:rsid w:val="006C29BB"/>
    <w:rsid w:val="006C3E18"/>
    <w:rsid w:val="00791AC1"/>
    <w:rsid w:val="00791E5A"/>
    <w:rsid w:val="007D2CBA"/>
    <w:rsid w:val="007D673F"/>
    <w:rsid w:val="007E4C72"/>
    <w:rsid w:val="00811DC0"/>
    <w:rsid w:val="00832733"/>
    <w:rsid w:val="00850B0D"/>
    <w:rsid w:val="00910A94"/>
    <w:rsid w:val="00930054"/>
    <w:rsid w:val="00947AF1"/>
    <w:rsid w:val="00970995"/>
    <w:rsid w:val="00980102"/>
    <w:rsid w:val="009B3EF9"/>
    <w:rsid w:val="009C0073"/>
    <w:rsid w:val="009C224E"/>
    <w:rsid w:val="00A06540"/>
    <w:rsid w:val="00A112A9"/>
    <w:rsid w:val="00A21E27"/>
    <w:rsid w:val="00A71A6A"/>
    <w:rsid w:val="00AE4A25"/>
    <w:rsid w:val="00B13BD9"/>
    <w:rsid w:val="00B3537E"/>
    <w:rsid w:val="00BB53B0"/>
    <w:rsid w:val="00BC1EB9"/>
    <w:rsid w:val="00C55AC7"/>
    <w:rsid w:val="00C71353"/>
    <w:rsid w:val="00CB4FFD"/>
    <w:rsid w:val="00CD2321"/>
    <w:rsid w:val="00D20C16"/>
    <w:rsid w:val="00D21FC2"/>
    <w:rsid w:val="00D649B2"/>
    <w:rsid w:val="00D93738"/>
    <w:rsid w:val="00DB7756"/>
    <w:rsid w:val="00DC6AA2"/>
    <w:rsid w:val="00DF6D15"/>
    <w:rsid w:val="00E15CB3"/>
    <w:rsid w:val="00E24A3C"/>
    <w:rsid w:val="00E528B3"/>
    <w:rsid w:val="00E6248F"/>
    <w:rsid w:val="00E925D2"/>
    <w:rsid w:val="00ED2414"/>
    <w:rsid w:val="00F0523A"/>
    <w:rsid w:val="00F63B7E"/>
    <w:rsid w:val="00FA65CF"/>
    <w:rsid w:val="00FC0ED9"/>
    <w:rsid w:val="00FC10E1"/>
    <w:rsid w:val="00FD00C6"/>
    <w:rsid w:val="00FD48DD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A9CE"/>
  <w15:docId w15:val="{C0C92A43-F501-41BF-8B2B-711E2E8D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48F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Glgeleme1-Vurgu4">
    <w:name w:val="Medium Shading 1 Accent 4"/>
    <w:basedOn w:val="NormalTablo"/>
    <w:uiPriority w:val="63"/>
    <w:rsid w:val="00FF502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Char">
    <w:name w:val="Gövde Metni Char"/>
    <w:basedOn w:val="VarsaylanParagrafYazTipi"/>
    <w:link w:val="GvdeMetni"/>
    <w:uiPriority w:val="1"/>
    <w:rsid w:val="00FF5024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table" w:styleId="AkListe-Vurgu5">
    <w:name w:val="Light List Accent 5"/>
    <w:basedOn w:val="NormalTablo"/>
    <w:uiPriority w:val="61"/>
    <w:rsid w:val="00DB775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MERAM-RAM-MD</cp:lastModifiedBy>
  <cp:revision>16</cp:revision>
  <cp:lastPrinted>2023-04-14T10:59:00Z</cp:lastPrinted>
  <dcterms:created xsi:type="dcterms:W3CDTF">2022-01-16T19:58:00Z</dcterms:created>
  <dcterms:modified xsi:type="dcterms:W3CDTF">2023-10-06T10:47:00Z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